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453374816"/>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at the reach of the worldwide population.</w:t>
      </w:r>
      <w:del w:id="10" w:author="Unknown Author" w:date="2018-04-12T10:19:00Z">
        <w:r>
          <w:rPr>
            <w:rFonts w:ascii="Calibri" w:hAnsi="Calibri" w:asciiTheme="majorHAnsi" w:hAnsiTheme="majorHAnsi"/>
            <w:lang w:val="en-GB"/>
          </w:rPr>
          <w:delText xml:space="preserve"> During the last decades </w:delText>
        </w:r>
      </w:del>
      <w:ins w:id="11" w:author="Unknown Author" w:date="2018-04-12T10:19:00Z">
        <w:r>
          <w:rPr>
            <w:rFonts w:ascii="Calibri" w:hAnsi="Calibri" w:asciiTheme="majorHAnsi" w:hAnsiTheme="majorHAnsi"/>
            <w:lang w:val="en-GB"/>
          </w:rPr>
          <w:t>S</w:t>
        </w:r>
      </w:ins>
      <w:ins w:id="12" w:author="Unknown Author" w:date="2018-04-12T10:19:00Z">
        <w:r>
          <w:rPr>
            <w:rFonts w:ascii="Calibri" w:hAnsi="Calibri" w:asciiTheme="majorHAnsi" w:hAnsiTheme="majorHAnsi"/>
            <w:lang w:val="en-GB"/>
          </w:rPr>
          <w:commentReference w:id="0"/>
        </w:r>
      </w:ins>
      <w:del w:id="13"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4"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5" w:author="Unknown Author" w:date="2018-04-12T10:21:00Z">
        <w:r>
          <w:rPr>
            <w:rFonts w:ascii="Calibri" w:hAnsi="Calibri" w:asciiTheme="majorHAnsi" w:hAnsiTheme="majorHAnsi"/>
            <w:lang w:val="en-GB"/>
          </w:rPr>
          <w:t>non-</w:t>
        </w:r>
      </w:ins>
      <w:del w:id="16"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7"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18" w:author="Unknown Author" w:date="2018-04-12T10:21:00Z">
        <w:r>
          <w:rPr>
            <w:rFonts w:ascii="Calibri" w:hAnsi="Calibri" w:asciiTheme="majorHAnsi" w:hAnsiTheme="majorHAnsi"/>
            <w:lang w:val="en-GB"/>
          </w:rPr>
          <w:t>T</w:t>
        </w:r>
      </w:ins>
      <w:del w:id="19" w:author="Unknown Author" w:date="2018-04-12T10:21:00Z">
        <w:r>
          <w:rPr>
            <w:rFonts w:ascii="Calibri" w:hAnsi="Calibri" w:asciiTheme="majorHAnsi" w:hAnsiTheme="majorHAnsi"/>
            <w:lang w:val="en-GB"/>
          </w:rPr>
          <w:delText>Unfo</w:delText>
        </w:r>
      </w:del>
      <w:ins w:id="20" w:author="Unknown Author" w:date="2018-04-12T10:21:00Z">
        <w:r>
          <w:rPr>
            <w:rFonts w:ascii="Calibri" w:hAnsi="Calibri" w:asciiTheme="majorHAnsi" w:hAnsiTheme="majorHAnsi"/>
            <w:lang w:val="en-GB"/>
          </w:rPr>
          <w:commentReference w:id="1"/>
        </w:r>
      </w:ins>
      <w:del w:id="21"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2"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3" w:author="Unknown Author" w:date="2018-04-12T10:22:00Z">
        <w:r>
          <w:rPr>
            <w:rFonts w:ascii="Calibri" w:hAnsi="Calibri" w:asciiTheme="majorHAnsi" w:hAnsiTheme="majorHAnsi"/>
            <w:lang w:val="en-GB"/>
          </w:rPr>
          <w:delText>allowed</w:delText>
        </w:r>
      </w:del>
      <w:ins w:id="24"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5" w:author="Unknown Author" w:date="2018-04-12T10:22:00Z">
        <w:r>
          <w:rPr>
            <w:rFonts w:ascii="Calibri" w:hAnsi="Calibri" w:asciiTheme="majorHAnsi" w:hAnsiTheme="majorHAnsi"/>
            <w:lang w:val="en-GB"/>
          </w:rPr>
          <w:t>International aid assists in the</w:t>
        </w:r>
      </w:ins>
      <w:del w:id="26"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7" w:author="Unknown Author" w:date="2018-04-12T10:22:00Z">
        <w:r>
          <w:rPr>
            <w:rFonts w:ascii="Calibri" w:hAnsi="Calibri" w:asciiTheme="majorHAnsi" w:hAnsiTheme="majorHAnsi"/>
            <w:lang w:val="en-GB"/>
          </w:rPr>
          <w:t xml:space="preserve"> </w:t>
        </w:r>
      </w:ins>
      <w:ins w:id="28" w:author="Unknown Author" w:date="2018-04-12T10:22:00Z">
        <w:r>
          <w:rPr>
            <w:rFonts w:ascii="Calibri" w:hAnsi="Calibri" w:asciiTheme="majorHAnsi" w:hAnsiTheme="majorHAnsi"/>
            <w:lang w:val="en-GB"/>
          </w:rPr>
          <w:t>in Mozambique</w:t>
        </w:r>
      </w:ins>
      <w:ins w:id="29" w:author="Unknown Author" w:date="2018-04-12T10:23:00Z">
        <w:r>
          <w:rPr>
            <w:rFonts w:ascii="Calibri" w:hAnsi="Calibri" w:asciiTheme="majorHAnsi" w:hAnsiTheme="majorHAnsi"/>
            <w:lang w:val="en-GB"/>
          </w:rPr>
          <w:t>, which has decreased the burden,</w:t>
        </w:r>
      </w:ins>
      <w:del w:id="30"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and girls 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onsite.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 compared to Manhiça town; but positively associated with the household head working outside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By contrasting the estimated local demand and supply, the theoretical market cleared at a price of 0.70 U$ per uncomplicated malaria episode, unveiling that half the study sample could not afford to pay for the treatment at its market price. However, as estimated suppliers’ surplus was twice the consumers’, intervening 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average economic cost per dose for a demonstration HPV vaccination programme under a school-based approach in Manhiça district was 17.59 US$: 1.42 US$ were introduction, 15.64 US$ recurrent and 0.53 US$ were cold-chain costs. The programme fully immunised the 77% of the total target population, which consisted of 10-year-old girls receiving three doses. The vast majority of them 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of reaching girls at their houses as most of the non-immunised girls were absent or out-of-schools, but also due to certain district characteristics, such as the moderate population density, or the reduced number of health facilities and their large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 care is freely covered by the national health insurance in Morocco, but public health facilities still use invasive and low-effective tools for its diagnosis and treatment. The study findings concluded that the adoption of RDT and short-course L-AmB regimens were cost-effective strategies in comparison with current practices. Therefore, such strategies should be implemented to improve VL management in Morocco and, possibly, to 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unveiled a limiting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HPV vaccine demonstration programme (year 2014) in Manhiça was lower than the mean estimation reported for other similar demonstration programmes in LMICs; but higher was the cost per fully immunised girl. A more efficient use of the 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boosted the epidemiological transition worldwide 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 xml:space="preserve">. Non-communicable diseases represent two thirds of the global mortality and an increasing proportion of the 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of high-income countries (HICs) but also of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main proportion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the 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in terms of 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the 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xml:space="preserve">. They are transmitted to humans by different vectors, such as mosquitoes, sandflies, ticks or freshwater snails. Malaria, dengue, yellow fever, leishmaniasis and schistosomiasis are some of the most prevalent vector-borne diseases globally. Other infectious diseases are instead transmitted through direct contact between human beings. Therefore, these infections are strictly more linked to human behaviour than vector-borne diseases are. This is the case of human immunodeficiency virus (HIV), hepatitis and human papillomavirus (HPV), among many others. Interestingly, several infections are risk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decades, due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The international awareness on the 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political commitment is not exempt from problems of restricted donor countries’ contributions, as a consequence of external financial shocks or domestic political lobbing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the international financial aid given by governments and international agencies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making them at the reach of the worldwide population. During the last decades several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of 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was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constantly requires the development of new tools. Despite the large improvements achieved worldwide, the control of infectious diseases is threatened by the 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Research in health economics has experienced an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choosing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to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Application>LibreOffice/5.1.6.2$Linux_X86_64 LibreOffice_project/10m0$Build-2</Application>
  <Pages>212</Pages>
  <Words>32097</Words>
  <Characters>183419</Characters>
  <CharactersWithSpaces>211603</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2018-04-12T10:23:20Z</dcterms:modified>
  <cp:revision>66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